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61" w:rsidRDefault="00B950F1" w:rsidP="00D3502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0F1">
        <w:rPr>
          <w:rFonts w:ascii="Times New Roman" w:hAnsi="Times New Roman" w:cs="Times New Roman"/>
          <w:b/>
          <w:sz w:val="28"/>
          <w:szCs w:val="28"/>
        </w:rPr>
        <w:t>Питательные среды – медицинские и немедицинские изделия</w:t>
      </w:r>
    </w:p>
    <w:p w:rsidR="00D35023" w:rsidRDefault="00D35023" w:rsidP="00695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23" w:rsidRDefault="00D35023" w:rsidP="00695A3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5023">
        <w:rPr>
          <w:rFonts w:ascii="Times New Roman" w:hAnsi="Times New Roman" w:cs="Times New Roman"/>
          <w:sz w:val="28"/>
          <w:szCs w:val="28"/>
        </w:rPr>
        <w:t>Согласно ст. 3</w:t>
      </w:r>
      <w:r w:rsidR="00154E50">
        <w:rPr>
          <w:rFonts w:ascii="Times New Roman" w:hAnsi="Times New Roman" w:cs="Times New Roman"/>
          <w:sz w:val="28"/>
          <w:szCs w:val="28"/>
        </w:rPr>
        <w:t>8 Федерального закона от 21.11.</w:t>
      </w:r>
      <w:r w:rsidRPr="00D35023">
        <w:rPr>
          <w:rFonts w:ascii="Times New Roman" w:hAnsi="Times New Roman" w:cs="Times New Roman"/>
          <w:sz w:val="28"/>
          <w:szCs w:val="28"/>
        </w:rPr>
        <w:t>2011 №</w:t>
      </w:r>
      <w:r>
        <w:rPr>
          <w:rFonts w:ascii="Times New Roman" w:hAnsi="Times New Roman" w:cs="Times New Roman"/>
          <w:sz w:val="28"/>
          <w:szCs w:val="28"/>
        </w:rPr>
        <w:t xml:space="preserve"> 323-ФЗ «Об основах охраны здоровья граждан в Российской Федерации» - </w:t>
      </w:r>
      <w:r w:rsidRPr="00FE1451">
        <w:rPr>
          <w:rFonts w:ascii="Times New Roman" w:hAnsi="Times New Roman" w:cs="Times New Roman"/>
          <w:i/>
          <w:sz w:val="28"/>
          <w:szCs w:val="28"/>
        </w:rPr>
        <w:t>«медицинскими изделиями являются любые инструменты, аппараты, приборы, оборудование, материалы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</w:t>
      </w:r>
      <w:r w:rsidR="00154E50">
        <w:rPr>
          <w:rFonts w:ascii="Times New Roman" w:hAnsi="Times New Roman" w:cs="Times New Roman"/>
          <w:i/>
          <w:sz w:val="28"/>
          <w:szCs w:val="28"/>
        </w:rPr>
        <w:t>ние, и предназначенные</w:t>
      </w:r>
      <w:r w:rsidRPr="00FE1451">
        <w:rPr>
          <w:rFonts w:ascii="Times New Roman" w:hAnsi="Times New Roman" w:cs="Times New Roman"/>
          <w:i/>
          <w:sz w:val="28"/>
          <w:szCs w:val="28"/>
        </w:rPr>
        <w:t xml:space="preserve">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 анатомической структуры </w:t>
      </w:r>
      <w:r w:rsidR="003669D2">
        <w:rPr>
          <w:rFonts w:ascii="Times New Roman" w:hAnsi="Times New Roman" w:cs="Times New Roman"/>
          <w:i/>
          <w:sz w:val="28"/>
          <w:szCs w:val="28"/>
        </w:rPr>
        <w:t>или физиологических</w:t>
      </w:r>
      <w:r w:rsidRPr="00FE1451">
        <w:rPr>
          <w:rFonts w:ascii="Times New Roman" w:hAnsi="Times New Roman" w:cs="Times New Roman"/>
          <w:i/>
          <w:sz w:val="28"/>
          <w:szCs w:val="28"/>
        </w:rPr>
        <w:t xml:space="preserve"> функций организма, предотвращения ли прерывания беременности, функциональное назначение которых не реализуется путем фармакологического, иммунологического,</w:t>
      </w:r>
      <w:r w:rsidR="00FE1451" w:rsidRPr="00FE14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1451">
        <w:rPr>
          <w:rFonts w:ascii="Times New Roman" w:hAnsi="Times New Roman" w:cs="Times New Roman"/>
          <w:i/>
          <w:sz w:val="28"/>
          <w:szCs w:val="28"/>
        </w:rPr>
        <w:t>генетического или метаболического во</w:t>
      </w:r>
      <w:r w:rsidR="00FE1451" w:rsidRPr="00FE1451">
        <w:rPr>
          <w:rFonts w:ascii="Times New Roman" w:hAnsi="Times New Roman" w:cs="Times New Roman"/>
          <w:i/>
          <w:sz w:val="28"/>
          <w:szCs w:val="28"/>
        </w:rPr>
        <w:t>з</w:t>
      </w:r>
      <w:r w:rsidR="00FE1451">
        <w:rPr>
          <w:rFonts w:ascii="Times New Roman" w:hAnsi="Times New Roman" w:cs="Times New Roman"/>
          <w:i/>
          <w:sz w:val="28"/>
          <w:szCs w:val="28"/>
        </w:rPr>
        <w:t>действия на организм человека</w:t>
      </w:r>
      <w:r w:rsidRPr="00FE1451">
        <w:rPr>
          <w:rFonts w:ascii="Times New Roman" w:hAnsi="Times New Roman" w:cs="Times New Roman"/>
          <w:i/>
          <w:sz w:val="28"/>
          <w:szCs w:val="28"/>
        </w:rPr>
        <w:t>»</w:t>
      </w:r>
      <w:r w:rsidR="00FE1451">
        <w:rPr>
          <w:rFonts w:ascii="Times New Roman" w:hAnsi="Times New Roman" w:cs="Times New Roman"/>
          <w:i/>
          <w:sz w:val="28"/>
          <w:szCs w:val="28"/>
        </w:rPr>
        <w:t>.</w:t>
      </w:r>
    </w:p>
    <w:p w:rsidR="00FE1451" w:rsidRDefault="00FE1451" w:rsidP="00695A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1451" w:rsidRDefault="00FE1451" w:rsidP="00695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Питательные среды для санитарных исследований пищевых продуктов, объектов окружающей среды и других объектов не предназначены для применения в вышеуказанных медицинских целях и не подлежат государственной регистрации в Росздравнадзоре в качестве медицинских изделий, что подтверждается письмами Росздравнадзора № О1-405/15 от 20.02.2015 г. ОИ-19219/15 от 07.07.2015.</w:t>
      </w:r>
    </w:p>
    <w:p w:rsidR="00FE1451" w:rsidRDefault="00FE1451" w:rsidP="00695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451" w:rsidRDefault="00FE1451" w:rsidP="00695A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рекомендациями Евразийского экономического союза № 25 от 12 ноября 2018 года «О Критериях отнесения продукции к медицинским изделиям в рамках Евразийского экономического союза» питательные среды не относятся к медицинским изделиям. В документе отмечено, что «в случае если продукция не обладает специфическими характеристиками, которые делают возможным ее специальное предназначение для проведения медицинских диагностических исследований</w:t>
      </w:r>
      <w:r w:rsidR="00145078">
        <w:rPr>
          <w:rFonts w:ascii="Times New Roman" w:hAnsi="Times New Roman" w:cs="Times New Roman"/>
          <w:sz w:val="28"/>
          <w:szCs w:val="28"/>
        </w:rPr>
        <w:t xml:space="preserve"> </w:t>
      </w:r>
      <w:r w:rsidR="00145078">
        <w:rPr>
          <w:rFonts w:ascii="Times New Roman" w:hAnsi="Times New Roman" w:cs="Times New Roman"/>
          <w:sz w:val="28"/>
          <w:szCs w:val="28"/>
        </w:rPr>
        <w:lastRenderedPageBreak/>
        <w:t xml:space="preserve">в условиях </w:t>
      </w:r>
      <w:r w:rsidR="0014507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45078" w:rsidRPr="00145078">
        <w:rPr>
          <w:rFonts w:ascii="Times New Roman" w:hAnsi="Times New Roman" w:cs="Times New Roman"/>
          <w:sz w:val="28"/>
          <w:szCs w:val="28"/>
        </w:rPr>
        <w:t xml:space="preserve"> </w:t>
      </w:r>
      <w:r w:rsidR="00145078">
        <w:rPr>
          <w:rFonts w:ascii="Times New Roman" w:hAnsi="Times New Roman" w:cs="Times New Roman"/>
          <w:sz w:val="28"/>
          <w:szCs w:val="28"/>
          <w:lang w:val="en-US"/>
        </w:rPr>
        <w:t>vitro</w:t>
      </w:r>
      <w:r w:rsidR="00145078">
        <w:rPr>
          <w:rFonts w:ascii="Times New Roman" w:hAnsi="Times New Roman" w:cs="Times New Roman"/>
          <w:sz w:val="28"/>
          <w:szCs w:val="28"/>
        </w:rPr>
        <w:t xml:space="preserve">, то такая продукция </w:t>
      </w:r>
      <w:r w:rsidR="00145078" w:rsidRPr="00145078">
        <w:rPr>
          <w:rFonts w:ascii="Times New Roman" w:hAnsi="Times New Roman" w:cs="Times New Roman"/>
          <w:b/>
          <w:sz w:val="28"/>
          <w:szCs w:val="28"/>
        </w:rPr>
        <w:t>не может относиться к медицинским изделиям</w:t>
      </w:r>
      <w:r w:rsidR="00145078">
        <w:rPr>
          <w:rFonts w:ascii="Times New Roman" w:hAnsi="Times New Roman" w:cs="Times New Roman"/>
          <w:b/>
          <w:sz w:val="28"/>
          <w:szCs w:val="28"/>
        </w:rPr>
        <w:t xml:space="preserve"> для диагностики </w:t>
      </w:r>
      <w:r w:rsidR="00145078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145078" w:rsidRPr="00145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078">
        <w:rPr>
          <w:rFonts w:ascii="Times New Roman" w:hAnsi="Times New Roman" w:cs="Times New Roman"/>
          <w:b/>
          <w:sz w:val="28"/>
          <w:szCs w:val="28"/>
          <w:lang w:val="en-US"/>
        </w:rPr>
        <w:t>vitro</w:t>
      </w:r>
      <w:r w:rsidR="00145078">
        <w:rPr>
          <w:rFonts w:ascii="Times New Roman" w:hAnsi="Times New Roman" w:cs="Times New Roman"/>
          <w:b/>
          <w:sz w:val="28"/>
          <w:szCs w:val="28"/>
        </w:rPr>
        <w:t xml:space="preserve"> и является общелабораторной.</w:t>
      </w:r>
    </w:p>
    <w:p w:rsidR="00145078" w:rsidRDefault="00145078" w:rsidP="00695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продукции, которая не относится к медицинским изделиям для диагностики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45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vitro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5078" w:rsidRDefault="00145078" w:rsidP="00695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078" w:rsidRDefault="00145078" w:rsidP="00145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наборы реагентов, предназначенные производителем для проведения санитарно-гигиенических и санитарно-эпидемиологических исследований, количественных и качественных </w:t>
      </w:r>
      <w:r w:rsidR="00404203">
        <w:rPr>
          <w:rFonts w:ascii="Times New Roman" w:hAnsi="Times New Roman" w:cs="Times New Roman"/>
          <w:sz w:val="28"/>
          <w:szCs w:val="28"/>
        </w:rPr>
        <w:t>исследований в объектах окружающей среды, космической химической, пищевой продукции и продовольственном сырье (нап</w:t>
      </w:r>
      <w:r w:rsidR="00154E50">
        <w:rPr>
          <w:rFonts w:ascii="Times New Roman" w:hAnsi="Times New Roman" w:cs="Times New Roman"/>
          <w:sz w:val="28"/>
          <w:szCs w:val="28"/>
        </w:rPr>
        <w:t>ример, для выявления возбудителей</w:t>
      </w:r>
      <w:r w:rsidR="00404203">
        <w:rPr>
          <w:rFonts w:ascii="Times New Roman" w:hAnsi="Times New Roman" w:cs="Times New Roman"/>
          <w:sz w:val="28"/>
          <w:szCs w:val="28"/>
        </w:rPr>
        <w:t xml:space="preserve"> инфекционных заболеваний, тяжелых металлов и т. д.)»</w:t>
      </w:r>
    </w:p>
    <w:p w:rsidR="00404203" w:rsidRDefault="00404203" w:rsidP="00695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C27" w:rsidRDefault="00695A38" w:rsidP="00695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="00CF6C27">
        <w:rPr>
          <w:rFonts w:ascii="Times New Roman" w:hAnsi="Times New Roman" w:cs="Times New Roman"/>
          <w:sz w:val="28"/>
          <w:szCs w:val="28"/>
        </w:rPr>
        <w:t xml:space="preserve"> объектов внешней среды (оценка соответствия) осуществляются как правило в аккредитованных лабораториях в соответствии с ГОСТ </w:t>
      </w:r>
      <w:r w:rsidR="00CF6C27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CF6C27" w:rsidRPr="00CF6C27">
        <w:rPr>
          <w:rFonts w:ascii="Times New Roman" w:hAnsi="Times New Roman" w:cs="Times New Roman"/>
          <w:sz w:val="28"/>
          <w:szCs w:val="28"/>
        </w:rPr>
        <w:t>/</w:t>
      </w:r>
      <w:r w:rsidR="00CF6C27">
        <w:rPr>
          <w:rFonts w:ascii="Times New Roman" w:hAnsi="Times New Roman" w:cs="Times New Roman"/>
          <w:sz w:val="28"/>
          <w:szCs w:val="28"/>
          <w:lang w:val="en-US"/>
        </w:rPr>
        <w:t>IEC</w:t>
      </w:r>
      <w:r w:rsidR="00154E50">
        <w:rPr>
          <w:rFonts w:ascii="Times New Roman" w:hAnsi="Times New Roman" w:cs="Times New Roman"/>
          <w:sz w:val="28"/>
          <w:szCs w:val="28"/>
        </w:rPr>
        <w:t xml:space="preserve"> </w:t>
      </w:r>
      <w:r w:rsidR="00CF6C27">
        <w:rPr>
          <w:rFonts w:ascii="Times New Roman" w:hAnsi="Times New Roman" w:cs="Times New Roman"/>
          <w:sz w:val="28"/>
          <w:szCs w:val="28"/>
        </w:rPr>
        <w:t xml:space="preserve">17025-2019 «Общие требования к компетентности испытательных и калибровочных лабораторий». Эти исследования проводятся не в рамках медицинской деятельности. Настоящий стандарт разработан с целью укрепления доверия к деятельности лабораторий. В настоящем стандарте содержатся требования к лабораториям, выполнение которых позволит им продемонстрировать компетентность и способность получать достоверные результаты. Лаборатории, которые соответствуют требованиям настоящего стандарта, также будут в целом функционировать в соответствии с принципами </w:t>
      </w:r>
      <w:r w:rsidR="00CF6C27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CF6C27">
        <w:rPr>
          <w:rFonts w:ascii="Times New Roman" w:hAnsi="Times New Roman" w:cs="Times New Roman"/>
          <w:sz w:val="28"/>
          <w:szCs w:val="28"/>
        </w:rPr>
        <w:t xml:space="preserve"> 9001.</w:t>
      </w:r>
    </w:p>
    <w:p w:rsidR="00695A38" w:rsidRDefault="00695A38" w:rsidP="00695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650" w:rsidRDefault="00CF6C27" w:rsidP="00CF6C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 и странах Евразийского экономического союза микробиологические показатели пищевых продуктов не должны превышать нормативов, установленных техническими регламентами таможенного союза</w:t>
      </w:r>
      <w:r w:rsidR="00D01650">
        <w:rPr>
          <w:rFonts w:ascii="Times New Roman" w:hAnsi="Times New Roman" w:cs="Times New Roman"/>
          <w:sz w:val="28"/>
          <w:szCs w:val="28"/>
        </w:rPr>
        <w:t xml:space="preserve"> (ТР ТС). Качество питательных сред контролируется в соответствии с ГОСТ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650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D01650" w:rsidRPr="00D01650">
        <w:rPr>
          <w:rFonts w:ascii="Times New Roman" w:hAnsi="Times New Roman" w:cs="Times New Roman"/>
          <w:sz w:val="28"/>
          <w:szCs w:val="28"/>
        </w:rPr>
        <w:t xml:space="preserve"> 11133-2016</w:t>
      </w:r>
      <w:r w:rsidR="00D01650">
        <w:rPr>
          <w:rFonts w:ascii="Times New Roman" w:hAnsi="Times New Roman" w:cs="Times New Roman"/>
          <w:sz w:val="28"/>
          <w:szCs w:val="28"/>
        </w:rPr>
        <w:t xml:space="preserve"> «Микробиология пищевых продуктов, кормов для животных и воды. Приготовление, производство, хранение и определение рабочих характеристик питательных сред». Настоящий стандарт устанавливает условия, касающиеся обеспечения качества питательных сред, а также устанавливает требования к приготовлению питательных сред, предназначенных для микробиологического анализа пищевых продуктов, кормов для животных, проб окружающей среды из зоны производства пищевых продуктов и кормов для животных, а также всех видов воды, предназначенной для потребления или используемой при производстве пищевых продуктов.</w:t>
      </w:r>
    </w:p>
    <w:p w:rsidR="00695A38" w:rsidRDefault="00695A38" w:rsidP="00695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C27" w:rsidRPr="00CF6C27" w:rsidRDefault="00D01650" w:rsidP="00CF6C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исключения возможности появления некачественных питательных сред, предназначенных для проведения санитарно-гигиенических и санитарно-эпидемиологических исследований, количественных и качественных исследований в объектах окружающей среды, косм</w:t>
      </w:r>
      <w:r w:rsidR="00154E50">
        <w:rPr>
          <w:rFonts w:ascii="Times New Roman" w:hAnsi="Times New Roman" w:cs="Times New Roman"/>
          <w:sz w:val="28"/>
          <w:szCs w:val="28"/>
        </w:rPr>
        <w:t>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ической, химической, пищевой продукции и про</w:t>
      </w:r>
      <w:r w:rsidR="0018100C">
        <w:rPr>
          <w:rFonts w:ascii="Times New Roman" w:hAnsi="Times New Roman" w:cs="Times New Roman"/>
          <w:sz w:val="28"/>
          <w:szCs w:val="28"/>
        </w:rPr>
        <w:t xml:space="preserve">довольственном сырье </w:t>
      </w:r>
      <w:r w:rsidR="0018100C" w:rsidRPr="0018100C">
        <w:rPr>
          <w:rFonts w:ascii="Times New Roman" w:hAnsi="Times New Roman" w:cs="Times New Roman"/>
          <w:b/>
          <w:sz w:val="28"/>
          <w:szCs w:val="28"/>
        </w:rPr>
        <w:t xml:space="preserve">необходимо питательные среды отнести к продукции, подлежащей обязательной сертификации, либо регистрации в </w:t>
      </w:r>
      <w:proofErr w:type="spellStart"/>
      <w:r w:rsidR="0018100C" w:rsidRPr="0018100C">
        <w:rPr>
          <w:rFonts w:ascii="Times New Roman" w:hAnsi="Times New Roman" w:cs="Times New Roman"/>
          <w:b/>
          <w:sz w:val="28"/>
          <w:szCs w:val="28"/>
        </w:rPr>
        <w:t>Роспотребнадзоре</w:t>
      </w:r>
      <w:proofErr w:type="spellEnd"/>
      <w:r w:rsidR="0018100C">
        <w:rPr>
          <w:rFonts w:ascii="Times New Roman" w:hAnsi="Times New Roman" w:cs="Times New Roman"/>
          <w:sz w:val="28"/>
          <w:szCs w:val="28"/>
        </w:rPr>
        <w:t xml:space="preserve"> (как например дезинфицирующие средства или </w:t>
      </w:r>
      <w:proofErr w:type="spellStart"/>
      <w:r w:rsidR="0018100C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="001810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6C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203" w:rsidRPr="00145078" w:rsidRDefault="00404203" w:rsidP="00145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04203" w:rsidRPr="0014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47"/>
    <w:rsid w:val="00145078"/>
    <w:rsid w:val="00154E50"/>
    <w:rsid w:val="0018100C"/>
    <w:rsid w:val="00364547"/>
    <w:rsid w:val="003669D2"/>
    <w:rsid w:val="00404203"/>
    <w:rsid w:val="00695A38"/>
    <w:rsid w:val="00957C61"/>
    <w:rsid w:val="00B950F1"/>
    <w:rsid w:val="00CF6C27"/>
    <w:rsid w:val="00D01650"/>
    <w:rsid w:val="00D35023"/>
    <w:rsid w:val="00FE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E21D"/>
  <w15:chartTrackingRefBased/>
  <w15:docId w15:val="{E07AE922-8205-4C8D-88AC-0A401B56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Zamarova</dc:creator>
  <cp:keywords/>
  <dc:description/>
  <cp:lastModifiedBy>Zamarova</cp:lastModifiedBy>
  <cp:revision>9</cp:revision>
  <cp:lastPrinted>2019-11-20T06:45:00Z</cp:lastPrinted>
  <dcterms:created xsi:type="dcterms:W3CDTF">2019-11-19T12:02:00Z</dcterms:created>
  <dcterms:modified xsi:type="dcterms:W3CDTF">2019-11-20T07:03:00Z</dcterms:modified>
</cp:coreProperties>
</file>